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2E" w:rsidRDefault="00014BB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74"/>
        </w:rPr>
        <w:t>e.m•bi</w:t>
      </w:r>
    </w:p>
    <w:p w:rsidR="0073312E" w:rsidRDefault="00014BBA">
      <w:pPr>
        <w:spacing w:after="942" w:line="259" w:lineRule="auto"/>
        <w:ind w:left="1720" w:right="-56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08738" cy="22842"/>
                <wp:effectExtent l="0" t="0" r="0" b="0"/>
                <wp:docPr id="27411" name="Group 27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738" cy="22842"/>
                          <a:chOff x="0" y="0"/>
                          <a:chExt cx="5308738" cy="22842"/>
                        </a:xfrm>
                      </wpg:grpSpPr>
                      <wps:wsp>
                        <wps:cNvPr id="27410" name="Shape 27410"/>
                        <wps:cNvSpPr/>
                        <wps:spPr>
                          <a:xfrm>
                            <a:off x="0" y="0"/>
                            <a:ext cx="5308738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38" h="22842">
                                <a:moveTo>
                                  <a:pt x="0" y="11421"/>
                                </a:moveTo>
                                <a:lnTo>
                                  <a:pt x="5308738" y="11421"/>
                                </a:lnTo>
                              </a:path>
                            </a:pathLst>
                          </a:custGeom>
                          <a:ln w="228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11" style="width:418.011pt;height:1.79855pt;mso-position-horizontal-relative:char;mso-position-vertical-relative:line" coordsize="53087,228">
                <v:shape id="Shape 27410" style="position:absolute;width:53087;height:228;left:0;top:0;" coordsize="5308738,22842" path="m0,11421l5308738,11421">
                  <v:stroke weight="1.798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3312E" w:rsidRDefault="00014BBA">
      <w:pPr>
        <w:spacing w:after="516" w:line="259" w:lineRule="auto"/>
        <w:ind w:left="424" w:firstLine="0"/>
        <w:jc w:val="center"/>
      </w:pPr>
      <w:r>
        <w:rPr>
          <w:sz w:val="26"/>
        </w:rPr>
        <w:t>EGYÜTTMŰKÖDÉSI MEGÁLLAPODÁS</w:t>
      </w:r>
    </w:p>
    <w:p w:rsidR="0073312E" w:rsidRDefault="00014BBA">
      <w:pPr>
        <w:spacing w:after="272" w:line="250" w:lineRule="auto"/>
        <w:ind w:left="446" w:right="50" w:firstLine="0"/>
      </w:pPr>
      <w:r>
        <w:t>amely létrejött egyrészről</w:t>
      </w:r>
      <w:bookmarkStart w:id="0" w:name="_GoBack"/>
      <w:bookmarkEnd w:id="0"/>
    </w:p>
    <w:p w:rsidR="0073312E" w:rsidRDefault="00014BBA">
      <w:pPr>
        <w:spacing w:after="272" w:line="250" w:lineRule="auto"/>
        <w:ind w:left="432" w:right="1151" w:firstLine="14"/>
      </w:pPr>
      <w:r>
        <w:t xml:space="preserve">a Budapest Főváros XX. Kerület Pesterzsébet Önkormányzata székhely: 1201 Budapest, Kossuth Lajos tér </w:t>
      </w:r>
      <w:proofErr w:type="gramStart"/>
      <w:r>
        <w:t>l .</w:t>
      </w:r>
      <w:proofErr w:type="gramEnd"/>
      <w:r>
        <w:t xml:space="preserve"> törzsszám: 735836 adószám: 15735832-2-43 képviseli: Szabados Ákos </w:t>
      </w:r>
      <w:proofErr w:type="gramStart"/>
      <w:r>
        <w:t>polgármester</w:t>
      </w:r>
      <w:proofErr w:type="gramEnd"/>
      <w:r>
        <w:t xml:space="preserve"> mint Használatba adó (a továbbiakban: Önkormányzat vagy Használatba adó)</w:t>
      </w:r>
      <w:r>
        <w:t>,</w:t>
      </w:r>
    </w:p>
    <w:p w:rsidR="0073312E" w:rsidRDefault="00014BBA">
      <w:pPr>
        <w:spacing w:after="272" w:line="250" w:lineRule="auto"/>
        <w:ind w:left="424" w:right="50" w:firstLine="0"/>
      </w:pPr>
      <w:r>
        <w:t>másrészről</w:t>
      </w:r>
    </w:p>
    <w:p w:rsidR="0073312E" w:rsidRDefault="00014BBA">
      <w:pPr>
        <w:spacing w:after="272" w:line="250" w:lineRule="auto"/>
        <w:ind w:left="417" w:right="50" w:firstLine="7"/>
      </w:pPr>
      <w:r>
        <w:t xml:space="preserve">az e-Mobi Elektromobilitás Nonprofit Korlátolt Felelősségú Társaság székhely: 1037 Budapest, Montevideo u. 2/C. cégjegyzékszám: OI -09-281052 adószám: 25539431-2-41 képviseli: Dr. Ugron Gáspár Gábor ügyvezető </w:t>
      </w:r>
      <w:proofErr w:type="gramStart"/>
      <w:r>
        <w:t>igazgató</w:t>
      </w:r>
      <w:proofErr w:type="gramEnd"/>
      <w:r>
        <w:t xml:space="preserve"> mint Használatba vevő (a </w:t>
      </w:r>
      <w:r>
        <w:t>továbbiakban: e-Mobi Nonprofit Kft. vagy Használó) között, (a továbbiakban külön-külön „Fél” együtt: „Felek”, vagy „Szerzódó Felek”) között, a mai napon, az alábbi feltételekkel:</w:t>
      </w:r>
    </w:p>
    <w:p w:rsidR="0073312E" w:rsidRDefault="00014BBA">
      <w:pPr>
        <w:spacing w:after="199" w:line="259" w:lineRule="auto"/>
        <w:ind w:left="417" w:firstLine="0"/>
        <w:jc w:val="left"/>
      </w:pPr>
      <w:r>
        <w:rPr>
          <w:sz w:val="26"/>
        </w:rPr>
        <w:t>I. Preambulum</w:t>
      </w:r>
    </w:p>
    <w:p w:rsidR="0073312E" w:rsidRDefault="00014BBA">
      <w:pPr>
        <w:numPr>
          <w:ilvl w:val="0"/>
          <w:numId w:val="1"/>
        </w:numPr>
        <w:spacing w:after="299" w:line="250" w:lineRule="auto"/>
        <w:ind w:right="50" w:hanging="705"/>
      </w:pPr>
      <w:r>
        <w:t>Az elektromobilitás hazai elterjesztésével kapcsolatos egyes kö</w:t>
      </w:r>
      <w:r>
        <w:t xml:space="preserve">zfeladatokat az elektromobilitás hazai elterjesztésével kapcsolatos egyes állami feladatokról szóló 443/2017. (XII. 27.) Korm. rendelet </w:t>
      </w:r>
      <w:proofErr w:type="gramStart"/>
      <w:r>
        <w:t>l .</w:t>
      </w:r>
      <w:proofErr w:type="gramEnd"/>
      <w:r>
        <w:t xml:space="preserve"> S-ában foglalt kijelölés alapján az e-Mobi Elektromobilitás Nonprofit Korlátolt Felelősségíí Társaság látja el. A 10</w:t>
      </w:r>
      <w:r>
        <w:t>0% állami tulajdonban álló e-Mobi Elektromobilitás Nonprofit Kft. a Nemzetgazdasági Minisztérium kezdeményezésére, a kormány által az 1487/2015. (V11.21.) Kormányhatározattal elfogadott Jedlik Ányos Terv végrehajtására jött létre. Legfontosabb feladata, ho</w:t>
      </w:r>
      <w:r>
        <w:t>gy az Európai Parlament és a Tanács 2014/94EU irányelvében előírtak kapcsán szakmailag hatékonyan támogassa az elektromobilitás hazai fejlesztését és széleskörű elterjesztését. Szerepet vállal a piaci szereplők összehangolásában, kiemelt szerepet tölt be a</w:t>
      </w:r>
      <w:r>
        <w:t>z e-mobilitás hazai elterjedéséhez kapcsolódó közvélemény formáló feladatok megvalósításában. Ennek részeként tevékenyen részt vesz közhasználatra felajánlott elektromos töltőoszlopok közterületen, illetve közforgalom számára könnyen megközelíthető magánte</w:t>
      </w:r>
      <w:r>
        <w:t>rületen történő telepítésében.</w:t>
      </w:r>
    </w:p>
    <w:p w:rsidR="0073312E" w:rsidRDefault="00014BBA">
      <w:pPr>
        <w:numPr>
          <w:ilvl w:val="0"/>
          <w:numId w:val="1"/>
        </w:numPr>
        <w:spacing w:after="272" w:line="250" w:lineRule="auto"/>
        <w:ind w:right="50" w:hanging="705"/>
      </w:pPr>
      <w:r>
        <w:t>Az Használatba adó támogatja az elektromobilitás lakosság körében történő elterjedését, ezért jelen megállapodás keretében szándékában áll együttműködni az eMobi Nonprofit Kft-vel az elektromobilitás elősegítése érdekében.</w:t>
      </w:r>
    </w:p>
    <w:p w:rsidR="0073312E" w:rsidRDefault="00014BBA">
      <w:pPr>
        <w:spacing w:after="445" w:line="259" w:lineRule="auto"/>
        <w:ind w:left="-14" w:right="-554" w:firstLine="0"/>
        <w:jc w:val="left"/>
      </w:pPr>
      <w:r>
        <w:rPr>
          <w:noProof/>
        </w:rPr>
        <w:lastRenderedPageBreak/>
        <w:drawing>
          <wp:inline distT="0" distB="0" distL="0" distR="0">
            <wp:extent cx="6400639" cy="561902"/>
            <wp:effectExtent l="0" t="0" r="0" b="0"/>
            <wp:docPr id="4245" name="Picture 4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" name="Picture 4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639" cy="56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2E" w:rsidRDefault="00014BBA">
      <w:pPr>
        <w:pStyle w:val="Cmsor1"/>
        <w:spacing w:after="213"/>
        <w:ind w:left="748" w:hanging="309"/>
      </w:pPr>
      <w:r>
        <w:t>Megállapodás tartalma</w:t>
      </w:r>
    </w:p>
    <w:p w:rsidR="0073312E" w:rsidRDefault="00014BBA">
      <w:pPr>
        <w:spacing w:after="268"/>
        <w:ind w:right="14"/>
      </w:pPr>
      <w:r>
        <w:t>l. Az e-Mobi Nonprofit Kft. a vonatkozó jogszabályok teljes körú betartása mellett elektromos töltóoszlopokat kíván telepíteni a Használatba adó tulajdonában álló ingatlan közforgalom által könnyen megközelíthetó részén. Az elektromos</w:t>
      </w:r>
      <w:r>
        <w:t xml:space="preserve"> töltóoszlopok telepítéséhez a Használatba adó ezúton is hozzájárul.</w:t>
      </w:r>
    </w:p>
    <w:p w:rsidR="0073312E" w:rsidRDefault="00014BBA">
      <w:pPr>
        <w:numPr>
          <w:ilvl w:val="0"/>
          <w:numId w:val="2"/>
        </w:numPr>
        <w:spacing w:after="261"/>
        <w:ind w:right="50" w:hanging="345"/>
      </w:pPr>
      <w:r>
        <w:t>Felek megállapodnak, hogy Használatba adó használatba adja az alábbi koordináták alatt található, jelen Megállapodás 1. számú mellékletét képező vázrajzon pontosan megjelölt területet ele</w:t>
      </w:r>
      <w:r>
        <w:t>ktromos töltőoszlop és kiszolgáló területének működtetése céljából. Használó jogosult a használatába adott területen elektromos töltőoszlopot elhelyezni működtetni, az ehhez szükséges forgalomtechnikai jelzéseket kihelyezni.</w:t>
      </w:r>
    </w:p>
    <w:tbl>
      <w:tblPr>
        <w:tblStyle w:val="TableGrid"/>
        <w:tblW w:w="8473" w:type="dxa"/>
        <w:tblInd w:w="1115" w:type="dxa"/>
        <w:tblCellMar>
          <w:top w:w="24" w:type="dxa"/>
          <w:left w:w="10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75"/>
        <w:gridCol w:w="1475"/>
        <w:gridCol w:w="1638"/>
        <w:gridCol w:w="1691"/>
        <w:gridCol w:w="1720"/>
        <w:gridCol w:w="1374"/>
      </w:tblGrid>
      <w:tr w:rsidR="0073312E">
        <w:trPr>
          <w:trHeight w:val="8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22" w:firstLine="0"/>
              <w:jc w:val="left"/>
            </w:pPr>
            <w:r>
              <w:t xml:space="preserve">Ssz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14" w:right="109" w:firstLine="7"/>
            </w:pPr>
            <w:r>
              <w:t>Cím (Ir. sz., város, utca,</w:t>
            </w:r>
            <w:r>
              <w:t xml:space="preserve"> házszám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29" w:right="106" w:firstLine="0"/>
              <w:jc w:val="center"/>
            </w:pPr>
            <w:r>
              <w:t>Helyrajzi szám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10" w:firstLine="0"/>
              <w:jc w:val="left"/>
            </w:pPr>
            <w:r>
              <w:t>Területnagyság</w:t>
            </w:r>
          </w:p>
          <w:p w:rsidR="0073312E" w:rsidRDefault="00014BBA">
            <w:pPr>
              <w:spacing w:after="0" w:line="259" w:lineRule="auto"/>
              <w:ind w:left="0" w:right="89" w:firstLine="0"/>
              <w:jc w:val="center"/>
            </w:pPr>
            <w:r>
              <w:t>m2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0" w:firstLine="0"/>
              <w:jc w:val="center"/>
            </w:pPr>
            <w:r>
              <w:t>Szélességi koordináta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0" w:firstLine="0"/>
              <w:jc w:val="center"/>
            </w:pPr>
            <w:r>
              <w:t>Hosszúsági koordináta</w:t>
            </w:r>
          </w:p>
        </w:tc>
      </w:tr>
      <w:tr w:rsidR="0073312E">
        <w:trPr>
          <w:trHeight w:val="166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43" w:firstLine="0"/>
              <w:jc w:val="left"/>
            </w:pPr>
            <w:r>
              <w:t>1.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43" w:firstLine="0"/>
              <w:jc w:val="left"/>
            </w:pPr>
            <w:r>
              <w:t>1203,</w:t>
            </w:r>
          </w:p>
          <w:p w:rsidR="0073312E" w:rsidRDefault="00014BBA">
            <w:pPr>
              <w:spacing w:after="0" w:line="259" w:lineRule="auto"/>
              <w:ind w:left="7" w:right="87" w:firstLine="7"/>
              <w:jc w:val="left"/>
            </w:pPr>
            <w:r>
              <w:t xml:space="preserve">Budapest Topánka utca - Baross </w:t>
            </w:r>
            <w:proofErr w:type="gramStart"/>
            <w:r>
              <w:t>utca sarok</w:t>
            </w:r>
            <w:proofErr w:type="gramEnd"/>
            <w:r>
              <w:t xml:space="preserve"> arkoló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56" w:firstLine="0"/>
              <w:jc w:val="center"/>
            </w:pPr>
            <w:r>
              <w:t>170204/27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89" w:firstLine="0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89" w:firstLine="0"/>
              <w:jc w:val="center"/>
            </w:pPr>
            <w:r>
              <w:t>47.437162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67" w:firstLine="0"/>
              <w:jc w:val="center"/>
            </w:pPr>
            <w:r>
              <w:t>19.097675</w:t>
            </w:r>
          </w:p>
        </w:tc>
      </w:tr>
      <w:tr w:rsidR="0073312E">
        <w:trPr>
          <w:trHeight w:val="110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36" w:firstLine="0"/>
              <w:jc w:val="left"/>
            </w:pPr>
            <w:r>
              <w:t>1201,</w:t>
            </w:r>
          </w:p>
          <w:p w:rsidR="0073312E" w:rsidRDefault="00014BBA">
            <w:pPr>
              <w:spacing w:after="0" w:line="259" w:lineRule="auto"/>
              <w:ind w:left="7" w:firstLine="0"/>
              <w:jc w:val="left"/>
            </w:pPr>
            <w:r>
              <w:t>Budapest Vörösmarty utca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91" w:firstLine="0"/>
              <w:jc w:val="center"/>
            </w:pPr>
            <w:r>
              <w:t>171181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96" w:firstLine="0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89" w:firstLine="0"/>
              <w:jc w:val="center"/>
            </w:pPr>
            <w:r>
              <w:t>47.435987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67" w:firstLine="0"/>
              <w:jc w:val="center"/>
            </w:pPr>
            <w:r>
              <w:t>19.103306</w:t>
            </w:r>
          </w:p>
        </w:tc>
      </w:tr>
      <w:tr w:rsidR="0073312E">
        <w:trPr>
          <w:trHeight w:val="839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14" w:firstLine="0"/>
              <w:jc w:val="left"/>
            </w:pPr>
            <w:r>
              <w:t>3.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29" w:firstLine="0"/>
              <w:jc w:val="left"/>
            </w:pPr>
            <w:r>
              <w:t>1204,</w:t>
            </w:r>
          </w:p>
          <w:p w:rsidR="0073312E" w:rsidRDefault="00014BBA">
            <w:pPr>
              <w:spacing w:after="0" w:line="259" w:lineRule="auto"/>
              <w:ind w:left="0" w:firstLine="0"/>
              <w:jc w:val="left"/>
            </w:pPr>
            <w:r>
              <w:t>Budapest</w:t>
            </w:r>
          </w:p>
          <w:p w:rsidR="0073312E" w:rsidRDefault="00014BBA">
            <w:pPr>
              <w:spacing w:after="0" w:line="259" w:lineRule="auto"/>
              <w:ind w:left="7" w:firstLine="0"/>
              <w:jc w:val="left"/>
            </w:pPr>
            <w:r>
              <w:t xml:space="preserve">Orsol </w:t>
            </w:r>
            <w:proofErr w:type="gramStart"/>
            <w:r>
              <w:t>a</w:t>
            </w:r>
            <w:proofErr w:type="gramEnd"/>
            <w:r>
              <w:t xml:space="preserve"> utca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91" w:firstLine="0"/>
              <w:jc w:val="center"/>
            </w:pPr>
            <w:r>
              <w:t>180519/3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110" w:firstLine="0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103" w:firstLine="0"/>
              <w:jc w:val="center"/>
            </w:pPr>
            <w:r>
              <w:t>47.428612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82" w:firstLine="0"/>
              <w:jc w:val="center"/>
            </w:pPr>
            <w:r>
              <w:t>19.127123</w:t>
            </w:r>
          </w:p>
        </w:tc>
      </w:tr>
      <w:tr w:rsidR="0073312E">
        <w:trPr>
          <w:trHeight w:val="111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22" w:firstLine="0"/>
              <w:jc w:val="left"/>
            </w:pPr>
            <w:r>
              <w:t>1203,</w:t>
            </w:r>
          </w:p>
          <w:p w:rsidR="0073312E" w:rsidRDefault="00014BBA">
            <w:pPr>
              <w:spacing w:after="0" w:line="259" w:lineRule="auto"/>
              <w:ind w:left="0" w:right="44" w:firstLine="0"/>
              <w:jc w:val="left"/>
            </w:pPr>
            <w:r>
              <w:t>Budapest Bíró Mihály utca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77" w:firstLine="0"/>
              <w:jc w:val="center"/>
            </w:pPr>
            <w:r>
              <w:t>170204/44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118" w:firstLine="0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110" w:firstLine="0"/>
              <w:jc w:val="center"/>
            </w:pPr>
            <w:r>
              <w:t>47.439264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12E" w:rsidRDefault="00014BBA">
            <w:pPr>
              <w:spacing w:after="0" w:line="259" w:lineRule="auto"/>
              <w:ind w:left="0" w:right="82" w:firstLine="0"/>
              <w:jc w:val="center"/>
            </w:pPr>
            <w:r>
              <w:t>19.102542</w:t>
            </w:r>
          </w:p>
        </w:tc>
      </w:tr>
    </w:tbl>
    <w:p w:rsidR="0073312E" w:rsidRDefault="00014BBA">
      <w:pPr>
        <w:numPr>
          <w:ilvl w:val="0"/>
          <w:numId w:val="2"/>
        </w:numPr>
        <w:spacing w:after="128"/>
        <w:ind w:right="50" w:hanging="345"/>
      </w:pPr>
      <w:r>
        <w:t>Használatba adó a szerződés teljes hatálya alatt biztosítja, hogy a töltőoszlopok és a töltőállomás bárki számára, korlátozás nélkül hozzáférhető.</w:t>
      </w:r>
    </w:p>
    <w:p w:rsidR="0073312E" w:rsidRDefault="00014BBA">
      <w:pPr>
        <w:numPr>
          <w:ilvl w:val="0"/>
          <w:numId w:val="2"/>
        </w:numPr>
        <w:ind w:right="50" w:hanging="345"/>
      </w:pPr>
      <w:r>
        <w:t>Használatba adó a 11/2. pontban írt közterület használatát a közterületek használatáról és használatának rend</w:t>
      </w:r>
      <w:r>
        <w:t>jéről szóló 27/2017. (X. 27.) önkormányzati rendelete (a továbbiakban: Rendelet) 18. (l) bekezdésében foglaltak alapján térítésmentesen biztosítja Használó részére, figyelemmel arra, hogy Használó által végzett tevékenység a közösségi célt szolgál, az támo</w:t>
      </w:r>
      <w:r>
        <w:t xml:space="preserve">gatandó, elősegíti a település lakosságának elektromobilitását. Felek megállapodnak, hogy Használó saját költségén telepíti és </w:t>
      </w:r>
      <w:r>
        <w:lastRenderedPageBreak/>
        <w:t>működteti a töltőoszlopo(ka)t és viseli azok fenntartásával járó valamennyi költséget. A térítésmentes használat addig illeti meg</w:t>
      </w:r>
      <w:r>
        <w:t xml:space="preserve"> a Használót, amíg a töltőoszlopok használatát a felhasználó elektromos járművek részére térítésmentesen biztosítja.</w:t>
      </w:r>
    </w:p>
    <w:p w:rsidR="0073312E" w:rsidRDefault="00014BBA">
      <w:pPr>
        <w:spacing w:after="437" w:line="259" w:lineRule="auto"/>
        <w:ind w:left="1669" w:right="-52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13307" cy="22842"/>
                <wp:effectExtent l="0" t="0" r="0" b="0"/>
                <wp:docPr id="27413" name="Group 27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307" cy="22842"/>
                          <a:chOff x="0" y="0"/>
                          <a:chExt cx="5313307" cy="22842"/>
                        </a:xfrm>
                      </wpg:grpSpPr>
                      <wps:wsp>
                        <wps:cNvPr id="27412" name="Shape 27412"/>
                        <wps:cNvSpPr/>
                        <wps:spPr>
                          <a:xfrm>
                            <a:off x="0" y="0"/>
                            <a:ext cx="5313307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307" h="22842">
                                <a:moveTo>
                                  <a:pt x="0" y="11421"/>
                                </a:moveTo>
                                <a:lnTo>
                                  <a:pt x="5313307" y="11421"/>
                                </a:lnTo>
                              </a:path>
                            </a:pathLst>
                          </a:custGeom>
                          <a:ln w="228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13" style="width:418.371pt;height:1.79855pt;mso-position-horizontal-relative:char;mso-position-vertical-relative:line" coordsize="53133,228">
                <v:shape id="Shape 27412" style="position:absolute;width:53133;height:228;left:0;top:0;" coordsize="5313307,22842" path="m0,11421l5313307,11421">
                  <v:stroke weight="1.798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3312E" w:rsidRDefault="00014BBA">
      <w:pPr>
        <w:numPr>
          <w:ilvl w:val="0"/>
          <w:numId w:val="2"/>
        </w:numPr>
        <w:spacing w:after="272" w:line="250" w:lineRule="auto"/>
        <w:ind w:right="50" w:hanging="345"/>
      </w:pPr>
      <w:r>
        <w:t>A Használó tudomásul veszi, hogy a jelen megállapodás kizárólagosan az 11/2. pontban megjelölt helyekre és tevékenységekre ad a számára t</w:t>
      </w:r>
      <w:r>
        <w:t>érítésmentes területhasználati lehetőséget.</w:t>
      </w:r>
    </w:p>
    <w:p w:rsidR="0073312E" w:rsidRDefault="00014BBA">
      <w:pPr>
        <w:numPr>
          <w:ilvl w:val="0"/>
          <w:numId w:val="2"/>
        </w:numPr>
        <w:spacing w:after="303" w:line="250" w:lineRule="auto"/>
        <w:ind w:right="50" w:hanging="345"/>
      </w:pPr>
      <w:r>
        <w:t xml:space="preserve">A telepítési munkálatokat Használó kizárólag a szükséges engedélyek és hozzájárulások birtokában kezdheti meg. A Használatba adó vállalja, hogy a töltóoszlop(ok) telepítéséhez szükséges engedélyek megszerzéséhez </w:t>
      </w:r>
      <w:r>
        <w:t>minden segítséget és támogatást megad, a hálózat kiépítéséhez, a töltőállomás telepítéséhez szükséges munkaterületet biztosítja, a szükséges nyilatkozatokat, vezetékjog, valamint ahhoz kapcsolódó használati jog létesítése esetén az ingatlannyilvántartási b</w:t>
      </w:r>
      <w:r>
        <w:t>ejegyzéshez szükséges engedélyt kiadja a Használó részére.</w:t>
      </w:r>
    </w:p>
    <w:p w:rsidR="0073312E" w:rsidRDefault="00014BBA">
      <w:pPr>
        <w:numPr>
          <w:ilvl w:val="0"/>
          <w:numId w:val="2"/>
        </w:numPr>
        <w:spacing w:after="272" w:line="250" w:lineRule="auto"/>
        <w:ind w:right="50" w:hanging="345"/>
      </w:pPr>
      <w:r>
        <w:t>Felek rögzítik, hogy a Jedlik Ányos Terv keretében létesítendő, az elektromos járművek használatához szükséges alapvető töltő infrastruktúra telepítésével összefüggő közigazgatási hatósági ügyek ki</w:t>
      </w:r>
      <w:r>
        <w:t>emelt jelentőségú üggyé nyilvánításáról szóló 369/2015. (XII. 2.) Korm. rendelet alapján nincs szükség településképi eljárás lefolytatására.</w:t>
      </w:r>
    </w:p>
    <w:p w:rsidR="0073312E" w:rsidRDefault="00014BBA">
      <w:pPr>
        <w:numPr>
          <w:ilvl w:val="0"/>
          <w:numId w:val="2"/>
        </w:numPr>
        <w:spacing w:after="272" w:line="250" w:lineRule="auto"/>
        <w:ind w:right="50" w:hanging="345"/>
      </w:pPr>
      <w:r>
        <w:t>Szerződő Felek rögzítik, hogy a Használó által telepített töltőoszlopok a Használó kizárólagos tulajdonában maradna</w:t>
      </w:r>
      <w:r>
        <w:t>k.</w:t>
      </w:r>
    </w:p>
    <w:p w:rsidR="0073312E" w:rsidRDefault="00014BBA">
      <w:pPr>
        <w:numPr>
          <w:ilvl w:val="0"/>
          <w:numId w:val="2"/>
        </w:numPr>
        <w:spacing w:after="293" w:line="250" w:lineRule="auto"/>
        <w:ind w:right="50" w:hanging="345"/>
      </w:pPr>
      <w:r>
        <w:t>Felek rögzítik, hogy a terület-használati hozzájárulás csak akkor érvényes, ha a Használó eleget tesz a közreműködő hatóságok, illetve jogosultak hozzájárulásában foglalt előírásoknak. Az engedélyek megszerzése a Használó kötelezettsége, amihez a Használat</w:t>
      </w:r>
      <w:r>
        <w:t>ba adó a jelen megállapodás aláírásával a tulajdonosi hozzájárulást megadja.</w:t>
      </w:r>
    </w:p>
    <w:p w:rsidR="0073312E" w:rsidRDefault="00014BBA">
      <w:pPr>
        <w:spacing w:after="272" w:line="250" w:lineRule="auto"/>
        <w:ind w:left="1132" w:right="50" w:hanging="348"/>
      </w:pPr>
      <w:r>
        <w:t>IO. A terület-használattal járó járulékos költségek (energiadíj, esetleges tisztán tartás stb.) megfizetése a Használó kötelezettsége. Ennek teljesítése érdekében a Használó kötel</w:t>
      </w:r>
      <w:r>
        <w:t>es a valamennyi szükséges megállapodást megkötni és hatályban tartani.</w:t>
      </w:r>
    </w:p>
    <w:p w:rsidR="0073312E" w:rsidRDefault="00014BBA">
      <w:pPr>
        <w:numPr>
          <w:ilvl w:val="0"/>
          <w:numId w:val="3"/>
        </w:numPr>
        <w:spacing w:after="272" w:line="250" w:lineRule="auto"/>
        <w:ind w:right="32" w:hanging="324"/>
      </w:pPr>
      <w:r>
        <w:t>Felek rögzítik, hogy Használót terheli a felelősség az általa a jelen Megállapodás értelmében létesített összes berendezés biztonságáért.</w:t>
      </w:r>
    </w:p>
    <w:p w:rsidR="0073312E" w:rsidRDefault="00014BBA">
      <w:pPr>
        <w:numPr>
          <w:ilvl w:val="0"/>
          <w:numId w:val="3"/>
        </w:numPr>
        <w:spacing w:after="272" w:line="250" w:lineRule="auto"/>
        <w:ind w:right="32" w:hanging="324"/>
      </w:pPr>
      <w:r>
        <w:t>Használó vállalja, hogy az általa telepített tö</w:t>
      </w:r>
      <w:r>
        <w:t>ltóoszlopokat a Megállapodás ideje alatt működőképes állapotban saját költségén fenntartja, valamint elvégzi azok karbantartását és javítását. A 11/3.pontban írt terület ügyfélforgalom számára nyitva álló területnek minősül, így a Használatba vevő által ny</w:t>
      </w:r>
      <w:r>
        <w:t xml:space="preserve">újtott elektromos töltőállomás üzemeltetés szolgáltatás felhasználói, illetve Használatba vevő az üzemeltetési tevékenység ellátáshoz szükséges munkavállalói, megbízottai, tisztségviselői a jelen megállapodás tárgyát képező területre Használatba adó külön </w:t>
      </w:r>
      <w:r>
        <w:t>hozzájárulása nélkül is beléphetnek.</w:t>
      </w:r>
    </w:p>
    <w:p w:rsidR="0073312E" w:rsidRDefault="0073312E">
      <w:pPr>
        <w:sectPr w:rsidR="007331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561" w:right="1439" w:bottom="1746" w:left="950" w:header="568" w:footer="845" w:gutter="0"/>
          <w:cols w:space="708"/>
          <w:titlePg/>
        </w:sectPr>
      </w:pPr>
    </w:p>
    <w:p w:rsidR="0073312E" w:rsidRDefault="00014BBA">
      <w:pPr>
        <w:spacing w:after="335"/>
        <w:ind w:left="691" w:right="14" w:firstLine="36"/>
      </w:pPr>
      <w:r>
        <w:lastRenderedPageBreak/>
        <w:t>Felek rögzítik, hogy Használatba vevő a jövőben a saját tulajdonában álló elektromos gépkocsi töltőállomás üzemeltetési jogosultságát harmadik személyre átruházhatja, amely ügylet a közbeszerzésekról szóló 2015. évi CXLIII. törvény hatálya alá tartozhat, í</w:t>
      </w:r>
      <w:r>
        <w:t xml:space="preserve">gy az üzemeltetésre jogosult harmadik személy kiválasztására is a vonatkozó közbeszerzési szabályok szerinti kerülhet sor. A fentiekre tekintettel felek már most rögzítik, hogy az elektromos gépkocsi töltőállomás mindenkori üzemeltetőjét Használatba adó a </w:t>
      </w:r>
      <w:r>
        <w:t>jelen megállapodás tárgyát képező területre az üzemeltetési szerződés teljesítése céljából köteles beengedni, illetve használatba Vevő jogosult az üzemeltetőt Használatba adó hozzájárulása nélkül is beengedni.</w:t>
      </w:r>
    </w:p>
    <w:p w:rsidR="0073312E" w:rsidRDefault="00014BBA">
      <w:pPr>
        <w:numPr>
          <w:ilvl w:val="0"/>
          <w:numId w:val="3"/>
        </w:numPr>
        <w:spacing w:after="269"/>
        <w:ind w:right="32" w:hanging="324"/>
      </w:pPr>
      <w:r>
        <w:t>A Használatba adó szavatolja, hogy a [*] napjá</w:t>
      </w:r>
      <w:r>
        <w:t>n lekért nem hiteles tulajdoni lap III. részében feltüntetett terheken túlmenően a használatba adott területek vonatkozásában harmadik személynek nem áll fenn olyan joga, mely a Használó jelen megállapodásból eredő jogainak gyakorlását korlátozza vagy kizá</w:t>
      </w:r>
      <w:r>
        <w:t>rja.</w:t>
      </w:r>
    </w:p>
    <w:p w:rsidR="0073312E" w:rsidRDefault="00014BBA">
      <w:pPr>
        <w:numPr>
          <w:ilvl w:val="0"/>
          <w:numId w:val="3"/>
        </w:numPr>
        <w:spacing w:after="556"/>
        <w:ind w:right="32" w:hanging="324"/>
      </w:pPr>
      <w:r>
        <w:t>A Használatba adó a 11/2. pontban írt területeket érintő átépítésről, forgalmi rend változásról már annak tervezése során tájékoztatja, valamint a tervezési eljárásba bevonja Használót, továbbá a kivitelezés megkezdéséról Használatba adó legalább 60 n</w:t>
      </w:r>
      <w:r>
        <w:t>appal korábban értesíti Használót.</w:t>
      </w:r>
    </w:p>
    <w:p w:rsidR="0073312E" w:rsidRDefault="00014BBA">
      <w:pPr>
        <w:pStyle w:val="Cmsor1"/>
        <w:spacing w:after="210"/>
        <w:ind w:left="734" w:hanging="396"/>
      </w:pPr>
      <w:r>
        <w:t>Megállapodás hatálya</w:t>
      </w:r>
    </w:p>
    <w:p w:rsidR="0073312E" w:rsidRDefault="00014BBA">
      <w:pPr>
        <w:spacing w:after="261"/>
        <w:ind w:left="714"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1690390</wp:posOffset>
                </wp:positionH>
                <wp:positionV relativeFrom="page">
                  <wp:posOffset>858842</wp:posOffset>
                </wp:positionV>
                <wp:extent cx="5304170" cy="22842"/>
                <wp:effectExtent l="0" t="0" r="0" b="0"/>
                <wp:wrapTopAndBottom/>
                <wp:docPr id="27415" name="Group 27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70" cy="22842"/>
                          <a:chOff x="0" y="0"/>
                          <a:chExt cx="5304170" cy="22842"/>
                        </a:xfrm>
                      </wpg:grpSpPr>
                      <wps:wsp>
                        <wps:cNvPr id="27414" name="Shape 27414"/>
                        <wps:cNvSpPr/>
                        <wps:spPr>
                          <a:xfrm>
                            <a:off x="0" y="0"/>
                            <a:ext cx="5304170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170" h="22842">
                                <a:moveTo>
                                  <a:pt x="0" y="11421"/>
                                </a:moveTo>
                                <a:lnTo>
                                  <a:pt x="5304170" y="11421"/>
                                </a:lnTo>
                              </a:path>
                            </a:pathLst>
                          </a:custGeom>
                          <a:ln w="228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15" style="width:417.651pt;height:1.79855pt;position:absolute;mso-position-horizontal-relative:page;mso-position-horizontal:absolute;margin-left:133.102pt;mso-position-vertical-relative:page;margin-top:67.6253pt;" coordsize="53041,228">
                <v:shape id="Shape 27414" style="position:absolute;width:53041;height:228;left:0;top:0;" coordsize="5304170,22842" path="m0,11421l5304170,11421">
                  <v:stroke weight="1.7985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l. Felek a Megállapodást a hatálybalépéstől számított IO éves határozott időre kötik, melyet Használatba adó vagy Használó egy alkalommal további 5 évre meghosszabbíthat.</w:t>
      </w:r>
    </w:p>
    <w:p w:rsidR="0073312E" w:rsidRDefault="00014BBA">
      <w:pPr>
        <w:numPr>
          <w:ilvl w:val="0"/>
          <w:numId w:val="4"/>
        </w:numPr>
        <w:spacing w:after="272"/>
        <w:ind w:right="14"/>
      </w:pPr>
      <w:r>
        <w:t>Szerzódó Felek kijelentik, hogy a jelen Megállapodás módosítását kizárólag abban az esetben tekintik joghatályosnak, ha arra írásban, aláírásra jogosult képviselőik útján kerül sor.</w:t>
      </w:r>
    </w:p>
    <w:p w:rsidR="0073312E" w:rsidRDefault="00014BBA">
      <w:pPr>
        <w:numPr>
          <w:ilvl w:val="0"/>
          <w:numId w:val="4"/>
        </w:numPr>
        <w:spacing w:after="266"/>
        <w:ind w:right="14"/>
      </w:pPr>
      <w:r>
        <w:t>Felek megállapodnak, hogy a határozott idó alatt a megállapodást rendes fe</w:t>
      </w:r>
      <w:r>
        <w:t>lmondással megszüntetni nem lehet.</w:t>
      </w:r>
    </w:p>
    <w:p w:rsidR="0073312E" w:rsidRDefault="00014BBA">
      <w:pPr>
        <w:numPr>
          <w:ilvl w:val="0"/>
          <w:numId w:val="4"/>
        </w:numPr>
        <w:spacing w:after="268"/>
        <w:ind w:right="14"/>
      </w:pPr>
      <w:r>
        <w:t>Azonnali hatályú rendkívüli felmondásnak kizárólag súlyos szerződésszegés esetén van helye.</w:t>
      </w:r>
    </w:p>
    <w:p w:rsidR="0073312E" w:rsidRDefault="00014BBA">
      <w:pPr>
        <w:numPr>
          <w:ilvl w:val="0"/>
          <w:numId w:val="4"/>
        </w:numPr>
        <w:spacing w:after="552"/>
        <w:ind w:right="14"/>
      </w:pPr>
      <w:r>
        <w:t>A határozott idő letelte előtt 90 nappal Felek kötelesek egyeztetni a megállapodás esetleges meghosszabbításának kérdéséről.</w:t>
      </w:r>
    </w:p>
    <w:p w:rsidR="0073312E" w:rsidRDefault="00014BBA">
      <w:pPr>
        <w:pStyle w:val="Cmsor1"/>
        <w:ind w:left="727" w:hanging="389"/>
      </w:pPr>
      <w:r>
        <w:t>Felek együttműködése, kapcsolattartás</w:t>
      </w:r>
    </w:p>
    <w:p w:rsidR="0073312E" w:rsidRDefault="00014BBA">
      <w:pPr>
        <w:ind w:left="714" w:right="14"/>
      </w:pPr>
      <w:r>
        <w:t>l. Felek jelen Megállapodásban foglaltak teljesítése érdekében folyamatosan együttműködnek, és egymás tevékenységét elősegítik. A sikeres teljesítés érdekében a Felek valamennyi - a Megállapodást érdemben érintő kérdés</w:t>
      </w:r>
      <w:r>
        <w:t>ben kölcsönösen tájékoztatják egymást a megjelölt kapcsolattartókon keresztül.</w:t>
      </w:r>
    </w:p>
    <w:p w:rsidR="0073312E" w:rsidRDefault="00014BBA">
      <w:pPr>
        <w:spacing w:after="127"/>
        <w:ind w:left="712" w:right="14" w:firstLine="0"/>
      </w:pPr>
      <w:r>
        <w:lastRenderedPageBreak/>
        <w:t>A Használatba adó részéről kijelölt személy a Megállapodás tartalmával és teljesítésével kapcsolatos kérdésekben:</w:t>
      </w:r>
    </w:p>
    <w:p w:rsidR="0073312E" w:rsidRDefault="00014BBA">
      <w:pPr>
        <w:tabs>
          <w:tab w:val="center" w:pos="921"/>
          <w:tab w:val="center" w:pos="2971"/>
        </w:tabs>
        <w:ind w:left="0" w:firstLine="0"/>
        <w:jc w:val="left"/>
      </w:pPr>
      <w:r>
        <w:tab/>
        <w:t>Név:</w:t>
      </w:r>
      <w:r>
        <w:tab/>
        <w:t>Kanyuk Krisztina</w:t>
      </w:r>
    </w:p>
    <w:p w:rsidR="0073312E" w:rsidRDefault="00014BBA">
      <w:pPr>
        <w:tabs>
          <w:tab w:val="center" w:pos="1148"/>
          <w:tab w:val="center" w:pos="4108"/>
        </w:tabs>
        <w:ind w:left="0" w:firstLine="0"/>
        <w:jc w:val="left"/>
      </w:pPr>
      <w:r>
        <w:tab/>
        <w:t>Beosztás:</w:t>
      </w:r>
      <w:r>
        <w:tab/>
        <w:t>műszaki referens, osztályveze</w:t>
      </w:r>
      <w:r>
        <w:t>tó-helyettes</w:t>
      </w:r>
    </w:p>
    <w:p w:rsidR="0073312E" w:rsidRDefault="00014BBA">
      <w:pPr>
        <w:ind w:left="698" w:right="14" w:firstLine="0"/>
      </w:pPr>
      <w:r>
        <w:t>E-mail cím: varosfejlesztes@pesterzsebet.hu</w:t>
      </w:r>
    </w:p>
    <w:p w:rsidR="0073312E" w:rsidRDefault="00014BBA">
      <w:pPr>
        <w:tabs>
          <w:tab w:val="center" w:pos="917"/>
          <w:tab w:val="center" w:pos="2817"/>
        </w:tabs>
        <w:spacing w:after="277"/>
        <w:ind w:left="0" w:firstLine="0"/>
        <w:jc w:val="left"/>
      </w:pPr>
      <w:r>
        <w:tab/>
        <w:t>Tel.:</w:t>
      </w:r>
      <w:r>
        <w:tab/>
        <w:t>06/1/238-0325</w:t>
      </w:r>
    </w:p>
    <w:p w:rsidR="0073312E" w:rsidRDefault="00014BBA">
      <w:pPr>
        <w:ind w:left="712" w:right="14" w:hanging="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1795468</wp:posOffset>
                </wp:positionH>
                <wp:positionV relativeFrom="paragraph">
                  <wp:posOffset>-40463</wp:posOffset>
                </wp:positionV>
                <wp:extent cx="3960995" cy="4568"/>
                <wp:effectExtent l="0" t="0" r="0" b="0"/>
                <wp:wrapNone/>
                <wp:docPr id="27417" name="Group 27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995" cy="4568"/>
                          <a:chOff x="0" y="0"/>
                          <a:chExt cx="3960995" cy="4568"/>
                        </a:xfrm>
                      </wpg:grpSpPr>
                      <wps:wsp>
                        <wps:cNvPr id="27416" name="Shape 27416"/>
                        <wps:cNvSpPr/>
                        <wps:spPr>
                          <a:xfrm>
                            <a:off x="0" y="0"/>
                            <a:ext cx="396099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995" h="4568">
                                <a:moveTo>
                                  <a:pt x="0" y="2284"/>
                                </a:moveTo>
                                <a:lnTo>
                                  <a:pt x="396099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17" style="width:311.889pt;height:0.359711pt;position:absolute;z-index:-2147483648;mso-position-horizontal-relative:text;mso-position-horizontal:absolute;margin-left:141.375pt;mso-position-vertical-relative:text;margin-top:-3.18616pt;" coordsize="39609,45">
                <v:shape id="Shape 27416" style="position:absolute;width:39609;height:45;left:0;top:0;" coordsize="3960995,4568" path="m0,2284l3960995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A Használatba vevő részéről kijelölt személy</w:t>
      </w:r>
      <w:r>
        <w:rPr>
          <w:u w:val="single" w:color="000000"/>
        </w:rPr>
        <w:t xml:space="preserve"> a </w:t>
      </w:r>
      <w:r>
        <w:t>Megállapodás tartalmával és teljesítésével kapcsolatos kérdésekben:</w:t>
      </w:r>
    </w:p>
    <w:tbl>
      <w:tblPr>
        <w:tblStyle w:val="TableGrid"/>
        <w:tblW w:w="2062" w:type="dxa"/>
        <w:tblInd w:w="705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</w:tblGrid>
      <w:tr w:rsidR="0073312E">
        <w:trPr>
          <w:trHeight w:val="791"/>
        </w:trPr>
        <w:tc>
          <w:tcPr>
            <w:tcW w:w="20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3312E" w:rsidRDefault="00014BBA">
            <w:pPr>
              <w:spacing w:after="0" w:line="259" w:lineRule="auto"/>
              <w:ind w:left="-14" w:firstLine="0"/>
              <w:jc w:val="left"/>
            </w:pPr>
            <w:r>
              <w:t>Név:</w:t>
            </w:r>
          </w:p>
          <w:p w:rsidR="0073312E" w:rsidRDefault="00014BBA">
            <w:pPr>
              <w:spacing w:after="0" w:line="259" w:lineRule="auto"/>
              <w:ind w:left="-7" w:firstLine="0"/>
              <w:jc w:val="left"/>
            </w:pPr>
            <w:r>
              <w:t>Beosztás:</w:t>
            </w:r>
          </w:p>
          <w:p w:rsidR="0073312E" w:rsidRDefault="00014BBA">
            <w:pPr>
              <w:spacing w:after="0" w:line="259" w:lineRule="auto"/>
              <w:ind w:left="-7" w:firstLine="0"/>
              <w:jc w:val="left"/>
            </w:pPr>
            <w:r>
              <w:t>E-mail cím:</w:t>
            </w:r>
          </w:p>
        </w:tc>
      </w:tr>
    </w:tbl>
    <w:p w:rsidR="0073312E" w:rsidRDefault="00014BBA">
      <w:pPr>
        <w:spacing w:after="260"/>
        <w:ind w:left="698" w:right="14" w:firstLine="0"/>
      </w:pPr>
      <w:r>
        <w:t>Tel.:</w:t>
      </w:r>
    </w:p>
    <w:p w:rsidR="0073312E" w:rsidRDefault="00014BBA">
      <w:pPr>
        <w:spacing w:after="272"/>
        <w:ind w:left="714" w:right="14"/>
      </w:pPr>
      <w:r>
        <w:t>2. Felek vállalják, hogy amennyiben a kapcsolattartásra kijelölt személyében, vagy bármely elérhetőségében változás következik be, arról haladéktalanul, írásban tájékoztatják egymást, a kapcsolattartó személy megváltozott adatainak, elérhetőségeinek megjel</w:t>
      </w:r>
      <w:r>
        <w:t>ölésével.</w:t>
      </w:r>
    </w:p>
    <w:p w:rsidR="0073312E" w:rsidRDefault="00014BBA">
      <w:pPr>
        <w:pStyle w:val="Cmsor1"/>
        <w:ind w:left="683" w:hanging="345"/>
      </w:pPr>
      <w:r>
        <w:t>Titoktartás</w:t>
      </w:r>
    </w:p>
    <w:p w:rsidR="0073312E" w:rsidRDefault="00014BBA">
      <w:pPr>
        <w:spacing w:after="278"/>
        <w:ind w:left="714"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1699527</wp:posOffset>
                </wp:positionH>
                <wp:positionV relativeFrom="page">
                  <wp:posOffset>858842</wp:posOffset>
                </wp:positionV>
                <wp:extent cx="5285895" cy="22842"/>
                <wp:effectExtent l="0" t="0" r="0" b="0"/>
                <wp:wrapTopAndBottom/>
                <wp:docPr id="27419" name="Group 27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895" cy="22842"/>
                          <a:chOff x="0" y="0"/>
                          <a:chExt cx="5285895" cy="22842"/>
                        </a:xfrm>
                      </wpg:grpSpPr>
                      <wps:wsp>
                        <wps:cNvPr id="27418" name="Shape 27418"/>
                        <wps:cNvSpPr/>
                        <wps:spPr>
                          <a:xfrm>
                            <a:off x="0" y="0"/>
                            <a:ext cx="5285895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895" h="22842">
                                <a:moveTo>
                                  <a:pt x="0" y="11421"/>
                                </a:moveTo>
                                <a:lnTo>
                                  <a:pt x="5285895" y="11421"/>
                                </a:lnTo>
                              </a:path>
                            </a:pathLst>
                          </a:custGeom>
                          <a:ln w="228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19" style="width:416.212pt;height:1.79855pt;position:absolute;mso-position-horizontal-relative:page;mso-position-horizontal:absolute;margin-left:133.821pt;mso-position-vertical-relative:page;margin-top:67.6253pt;" coordsize="52858,228">
                <v:shape id="Shape 27418" style="position:absolute;width:52858;height:228;left:0;top:0;" coordsize="5285895,22842" path="m0,11421l5285895,11421">
                  <v:stroke weight="1.7985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l. Bizalmas Információk: Mindegyik Fél beleegyezik, hogy bizalmasan kezeli és gondoskodik arról, hogy megbízottai, alkalmazottai, tisztségviselői bizalmasan kezeljék a másik Fél által átadott minden olyan információt, dokumentációt, </w:t>
      </w:r>
      <w:r>
        <w:t>adatokat és/vagy know-how-t, amelyeket írásban bizalmasnak minősítettek, beleértve az üzleti titoknak minősített dokumentációt és adatokat, és beleértve a Megállapodást is („Bizalmas Információ”), és nem adja át harmadik félnek, vagy nem használja fel a Bi</w:t>
      </w:r>
      <w:r>
        <w:t>zalmas Információt, vagy annak bármely részét a másik Fél előzetes írásos hozzájárulása nélkül. Felek beleegyeznek, hogy saját szervezetükön belül olyan szintre fogják korlátozni azon személyek számát, akiknek a Bizalmas Információ átadásra kerül, ami a le</w:t>
      </w:r>
      <w:r>
        <w:t>gminimálisabban szükséges ahhoz, hogy a Megállapodás szerinti kötelezettségeiket teljesíteni tudják.</w:t>
      </w:r>
    </w:p>
    <w:p w:rsidR="0073312E" w:rsidRDefault="00014BBA">
      <w:pPr>
        <w:numPr>
          <w:ilvl w:val="0"/>
          <w:numId w:val="5"/>
        </w:numPr>
        <w:spacing w:after="275"/>
        <w:ind w:right="14" w:hanging="345"/>
      </w:pPr>
      <w:r>
        <w:t>A Használatba vevő tájékoztatja a Használatba adót, hogy a Megállapodás tárgyához illetve teljesítéséhez kapcsolódóan Használatba vevő által átadott valame</w:t>
      </w:r>
      <w:r>
        <w:t>nnyi dokumentum, információ és tájékoztatás Bizalmas Információ titokban maradásához alapos érdeke fűződik, Használatba vevő hozzájárulása nélküli nyilvánosságra hozataluk a Használatba vevő jogos pénzügyi, gazdasági piaci érdekét sérti, veszélyezteti, így</w:t>
      </w:r>
      <w:r>
        <w:t xml:space="preserve"> a jelen Titoktartás fejezetben rögzítetteket Szerződő Felek a Megállapodás lényeges elemeként határozzák meg.</w:t>
      </w:r>
    </w:p>
    <w:p w:rsidR="0073312E" w:rsidRDefault="00014BBA">
      <w:pPr>
        <w:numPr>
          <w:ilvl w:val="0"/>
          <w:numId w:val="5"/>
        </w:numPr>
        <w:spacing w:after="255"/>
        <w:ind w:right="14" w:hanging="345"/>
      </w:pPr>
      <w:r>
        <w:t>A Felek kötelesek biztosítani, hogy a Bizalmas Információkat megismerő harmadik felek betartsák a Megállapodásban foglalt titoktartási rendelkezé</w:t>
      </w:r>
      <w:r>
        <w:t>seket.</w:t>
      </w:r>
    </w:p>
    <w:p w:rsidR="0073312E" w:rsidRDefault="00014BBA">
      <w:pPr>
        <w:numPr>
          <w:ilvl w:val="0"/>
          <w:numId w:val="5"/>
        </w:numPr>
        <w:ind w:right="14" w:hanging="345"/>
      </w:pPr>
      <w:r>
        <w:lastRenderedPageBreak/>
        <w:t>A Felek titoktartási kötelezettsége a Megállapodás megszűnését követően idókorlátozás nélkül fennáll.</w:t>
      </w:r>
    </w:p>
    <w:p w:rsidR="0073312E" w:rsidRDefault="00014BBA">
      <w:pPr>
        <w:numPr>
          <w:ilvl w:val="0"/>
          <w:numId w:val="5"/>
        </w:numPr>
        <w:spacing w:after="259"/>
        <w:ind w:right="14" w:hanging="345"/>
      </w:pPr>
      <w:r>
        <w:t>A Titoktartás fejezetben rögzített korlátozások nem vonatkoznak vagy megszúnnek vonatkozni a Bizalmas Információ bármely olyan részére:</w:t>
      </w:r>
    </w:p>
    <w:p w:rsidR="0073312E" w:rsidRDefault="00014BBA">
      <w:pPr>
        <w:numPr>
          <w:ilvl w:val="1"/>
          <w:numId w:val="5"/>
        </w:numPr>
        <w:ind w:right="14" w:hanging="705"/>
      </w:pPr>
      <w:r>
        <w:t>amely a titoktartási kötelezettség megszegésén kívül álló okokból került nyilvánosságra;</w:t>
      </w:r>
    </w:p>
    <w:p w:rsidR="0073312E" w:rsidRDefault="00014BBA">
      <w:pPr>
        <w:numPr>
          <w:ilvl w:val="1"/>
          <w:numId w:val="5"/>
        </w:numPr>
        <w:ind w:right="14" w:hanging="705"/>
      </w:pPr>
      <w:r>
        <w:t>amely az azt megszerző Fél vagy annak megbízottja, alkalmazottja, tisztviselője, részvényese tulajdonában volt a Bizalmas Információ átadásakor;</w:t>
      </w:r>
    </w:p>
    <w:p w:rsidR="0073312E" w:rsidRDefault="00014BBA">
      <w:pPr>
        <w:numPr>
          <w:ilvl w:val="1"/>
          <w:numId w:val="5"/>
        </w:numPr>
        <w:ind w:right="14" w:hanging="705"/>
      </w:pPr>
      <w:r>
        <w:t>amelyet a Fél jóhiszem</w:t>
      </w:r>
      <w:r>
        <w:t>űen megszerzett egy olyan harmadik féltől, amely jogosult volt annak átadására;</w:t>
      </w:r>
    </w:p>
    <w:p w:rsidR="0073312E" w:rsidRDefault="00014BBA">
      <w:pPr>
        <w:numPr>
          <w:ilvl w:val="1"/>
          <w:numId w:val="5"/>
        </w:numPr>
        <w:ind w:right="14" w:hanging="705"/>
      </w:pPr>
      <w:r>
        <w:t>amelyet a vonatkozó jogszabályi vagy hatósági előírások szerint ki kellett adni, így különösen:</w:t>
      </w:r>
    </w:p>
    <w:p w:rsidR="0073312E" w:rsidRDefault="00014BBA">
      <w:pPr>
        <w:numPr>
          <w:ilvl w:val="2"/>
          <w:numId w:val="5"/>
        </w:numPr>
        <w:spacing w:after="7" w:line="259" w:lineRule="auto"/>
        <w:ind w:right="14"/>
      </w:pPr>
      <w:r>
        <w:t>amely az</w:t>
      </w:r>
      <w:r>
        <w:tab/>
        <w:t>információs önrendelkezési</w:t>
      </w:r>
      <w:r>
        <w:tab/>
        <w:t>jogról</w:t>
      </w:r>
      <w:r>
        <w:tab/>
        <w:t>és</w:t>
      </w:r>
      <w:r>
        <w:tab/>
        <w:t>az információszabadságról szóló 20</w:t>
      </w:r>
      <w:r>
        <w:t>11. évi CXII. törvény (a továbbiakban: Infotv.) 3. SS 5. szerinti közérdekű adatnak minősül</w:t>
      </w:r>
    </w:p>
    <w:p w:rsidR="0073312E" w:rsidRDefault="00014BBA">
      <w:pPr>
        <w:numPr>
          <w:ilvl w:val="2"/>
          <w:numId w:val="5"/>
        </w:numPr>
        <w:ind w:right="14"/>
      </w:pPr>
      <w:r>
        <w:t>amely az Infotv. 3. S 6. szerinti közérdekből nyilvános adatnak minősül</w:t>
      </w:r>
    </w:p>
    <w:p w:rsidR="0073312E" w:rsidRDefault="00014BBA">
      <w:pPr>
        <w:numPr>
          <w:ilvl w:val="2"/>
          <w:numId w:val="5"/>
        </w:numPr>
        <w:ind w:right="14"/>
      </w:pPr>
      <w:r>
        <w:t xml:space="preserve">amelynek kiadására a Fél közigazgatási hatóság döntése, vagy </w:t>
      </w:r>
      <w:r>
        <w:rPr>
          <w:noProof/>
        </w:rPr>
        <w:drawing>
          <wp:inline distT="0" distB="0" distL="0" distR="0">
            <wp:extent cx="77667" cy="13705"/>
            <wp:effectExtent l="0" t="0" r="0" b="0"/>
            <wp:docPr id="12785" name="Picture 1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5" name="Picture 127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66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belföldi vagy nemzetközi — oly</w:t>
      </w:r>
      <w:r>
        <w:t>an megkeresése alapján köteles, amelynek teljesítése — a vonatkozó jogszabályi rendelkezések vagy nemzetközi viszonossági gyakorlat alapján — nem tagadható meg</w:t>
      </w:r>
    </w:p>
    <w:p w:rsidR="0073312E" w:rsidRDefault="00014BBA">
      <w:pPr>
        <w:numPr>
          <w:ilvl w:val="2"/>
          <w:numId w:val="5"/>
        </w:numPr>
        <w:spacing w:after="7" w:line="259" w:lineRule="auto"/>
        <w:ind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1699527</wp:posOffset>
                </wp:positionH>
                <wp:positionV relativeFrom="page">
                  <wp:posOffset>858842</wp:posOffset>
                </wp:positionV>
                <wp:extent cx="5290464" cy="22842"/>
                <wp:effectExtent l="0" t="0" r="0" b="0"/>
                <wp:wrapTopAndBottom/>
                <wp:docPr id="27421" name="Group 27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464" cy="22842"/>
                          <a:chOff x="0" y="0"/>
                          <a:chExt cx="5290464" cy="22842"/>
                        </a:xfrm>
                      </wpg:grpSpPr>
                      <wps:wsp>
                        <wps:cNvPr id="27420" name="Shape 27420"/>
                        <wps:cNvSpPr/>
                        <wps:spPr>
                          <a:xfrm>
                            <a:off x="0" y="0"/>
                            <a:ext cx="5290464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464" h="22842">
                                <a:moveTo>
                                  <a:pt x="0" y="11421"/>
                                </a:moveTo>
                                <a:lnTo>
                                  <a:pt x="5290464" y="11421"/>
                                </a:lnTo>
                              </a:path>
                            </a:pathLst>
                          </a:custGeom>
                          <a:ln w="228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21" style="width:416.572pt;height:1.79855pt;position:absolute;mso-position-horizontal-relative:page;mso-position-horizontal:absolute;margin-left:133.821pt;mso-position-vertical-relative:page;margin-top:67.6253pt;" coordsize="52904,228">
                <v:shape id="Shape 27420" style="position:absolute;width:52904;height:228;left:0;top:0;" coordsize="5290464,22842" path="m0,11421l5290464,11421">
                  <v:stroke weight="1.7985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amelynek kiadására a Fél bíróság döntése, vagy olyan — belföldi vagy nemzetközi</w:t>
      </w:r>
      <w:r>
        <w:tab/>
        <w:t>megkeresése ala</w:t>
      </w:r>
      <w:r>
        <w:t>pján köteles, amelynek teljesítése</w:t>
      </w:r>
      <w:r>
        <w:tab/>
        <w:t>a vonatkozó jogszabályi rendelkezések vagy nemzetközi viszonossági gyakorlat alapján — nem tagadható meg</w:t>
      </w:r>
    </w:p>
    <w:p w:rsidR="0073312E" w:rsidRDefault="00014BBA">
      <w:pPr>
        <w:numPr>
          <w:ilvl w:val="2"/>
          <w:numId w:val="5"/>
        </w:numPr>
        <w:ind w:right="14"/>
      </w:pPr>
      <w:r>
        <w:t>amelyet bíróságnak vagy hatóságnak nem minősülő harmadik személy részére a Fél bármely jogszabályi rendelkezés alapj</w:t>
      </w:r>
      <w:r>
        <w:t>án köteles kiadni</w:t>
      </w:r>
    </w:p>
    <w:p w:rsidR="0073312E" w:rsidRDefault="00014BBA">
      <w:pPr>
        <w:numPr>
          <w:ilvl w:val="2"/>
          <w:numId w:val="5"/>
        </w:numPr>
        <w:ind w:right="14"/>
      </w:pPr>
      <w:r>
        <w:t>amelyet a Fél bármely jogszabályi rendelkezés alapján köteles bármilyen felületen megjeleníteni, nyilvánosságra hozni</w:t>
      </w:r>
    </w:p>
    <w:p w:rsidR="0073312E" w:rsidRDefault="00014BBA">
      <w:pPr>
        <w:numPr>
          <w:ilvl w:val="2"/>
          <w:numId w:val="5"/>
        </w:numPr>
        <w:ind w:right="14"/>
      </w:pPr>
      <w:r>
        <w:t>amelyet a Fél megbízottja, alkalmazottja vagy tisztségviselóje, vagy bármely olyan természetes személy, akire jelen Tito</w:t>
      </w:r>
      <w:r>
        <w:t>ktartási fejezet hatálya kiterjed tanúként való meghallgatása során a vonatkozó eljárási jogszabály szerint köteles feltárni</w:t>
      </w:r>
    </w:p>
    <w:p w:rsidR="0073312E" w:rsidRDefault="00014BBA">
      <w:pPr>
        <w:numPr>
          <w:ilvl w:val="2"/>
          <w:numId w:val="5"/>
        </w:numPr>
        <w:spacing w:after="277"/>
        <w:ind w:right="14"/>
      </w:pPr>
      <w:r>
        <w:t xml:space="preserve">amely szükséges ahhoz, hogy a Fél, a fél megbízottja, alkalmazottja vagy tisztségviselője, vagy bármely olyan személy, akire jelen </w:t>
      </w:r>
      <w:r>
        <w:t>Titoktartási fejezet hatálya kiterjed, jogszabály alapján esetlegesen felmerülő feljelentési vagy egyéb bejelentési kötelezettségét teljesítse</w:t>
      </w:r>
    </w:p>
    <w:p w:rsidR="0073312E" w:rsidRDefault="00014BBA">
      <w:pPr>
        <w:pStyle w:val="Cmsor1"/>
        <w:ind w:left="381" w:hanging="381"/>
      </w:pPr>
      <w:r>
        <w:lastRenderedPageBreak/>
        <w:t>Vegyes rendelkezések</w:t>
      </w:r>
    </w:p>
    <w:p w:rsidR="0073312E" w:rsidRDefault="00014BBA">
      <w:pPr>
        <w:spacing w:after="279"/>
        <w:ind w:left="714" w:right="14"/>
      </w:pPr>
      <w:proofErr w:type="gramStart"/>
      <w:r>
        <w:t>l .</w:t>
      </w:r>
      <w:proofErr w:type="gramEnd"/>
      <w:r>
        <w:t xml:space="preserve"> A Megállapodás mindkét fél aláírásával lép hatályba. Amennyiben a Felek nem egy időben írják alá a Megállapodást, abban az esetben a Megállapodás hatályba lépésének napja a Megállapodást utoljára aláíró aláírásának napja.</w:t>
      </w:r>
    </w:p>
    <w:p w:rsidR="0073312E" w:rsidRDefault="00014BBA">
      <w:pPr>
        <w:ind w:left="714" w:right="14"/>
      </w:pPr>
      <w:r>
        <w:t>2. A jelen megállapodásban nem</w:t>
      </w:r>
      <w:r>
        <w:t xml:space="preserve"> szabályozott kérdések tekintetében a Ptk. rendelkezései az irányadóak.</w:t>
      </w:r>
    </w:p>
    <w:p w:rsidR="0073312E" w:rsidRDefault="0073312E">
      <w:pPr>
        <w:sectPr w:rsidR="007331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20"/>
          <w:pgMar w:top="1895" w:right="1446" w:bottom="1560" w:left="1374" w:header="561" w:footer="845" w:gutter="0"/>
          <w:cols w:space="708"/>
        </w:sectPr>
      </w:pPr>
    </w:p>
    <w:p w:rsidR="0073312E" w:rsidRDefault="00014BBA">
      <w:pPr>
        <w:pStyle w:val="Cmsor2"/>
      </w:pPr>
      <w:r>
        <w:lastRenderedPageBreak/>
        <w:t>2/C</w:t>
      </w:r>
    </w:p>
    <w:p w:rsidR="0073312E" w:rsidRDefault="00014BBA">
      <w:pPr>
        <w:spacing w:after="723" w:line="259" w:lineRule="auto"/>
        <w:ind w:left="1288" w:right="-56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04170" cy="22842"/>
                <wp:effectExtent l="0" t="0" r="0" b="0"/>
                <wp:docPr id="27427" name="Group 27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70" cy="22842"/>
                          <a:chOff x="0" y="0"/>
                          <a:chExt cx="5304170" cy="22842"/>
                        </a:xfrm>
                      </wpg:grpSpPr>
                      <wps:wsp>
                        <wps:cNvPr id="27426" name="Shape 27426"/>
                        <wps:cNvSpPr/>
                        <wps:spPr>
                          <a:xfrm>
                            <a:off x="0" y="0"/>
                            <a:ext cx="5304170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170" h="22842">
                                <a:moveTo>
                                  <a:pt x="0" y="11421"/>
                                </a:moveTo>
                                <a:lnTo>
                                  <a:pt x="5304170" y="11421"/>
                                </a:lnTo>
                              </a:path>
                            </a:pathLst>
                          </a:custGeom>
                          <a:ln w="228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27" style="width:417.651pt;height:1.79855pt;mso-position-horizontal-relative:char;mso-position-vertical-relative:line" coordsize="53041,228">
                <v:shape id="Shape 27426" style="position:absolute;width:53041;height:228;left:0;top:0;" coordsize="5304170,22842" path="m0,11421l5304170,11421">
                  <v:stroke weight="1.798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3312E" w:rsidRDefault="00014BBA">
      <w:pPr>
        <w:numPr>
          <w:ilvl w:val="0"/>
          <w:numId w:val="6"/>
        </w:numPr>
        <w:spacing w:after="280" w:line="259" w:lineRule="auto"/>
        <w:ind w:right="7"/>
      </w:pPr>
      <w:r>
        <w:t>Ha a Megállapodás egyes kikötései ér</w:t>
      </w:r>
      <w:r>
        <w:t xml:space="preserve">vénytelenek, vagy érvénytelennek minősülnének, ezen érvénytelenség nem érinti a Megállapodás egészét. A Megállapodás érvénytelenséggel nem érintett rendelkezései változatlanul érvényben maradnak és kikényszeríthetók. Az érvénytelen rendelkezések helyett a </w:t>
      </w:r>
      <w:r>
        <w:t>rendelkezéshez legközelebb álló hatályos, a Felek közötti jogviszonyra vonatkozó rendelkezést kell alkalmazni, kivéve, ha az érvénytelen vagy annak minősített rendelkezések nélkül a Megállapodást a Felek egyáltalán nem kötötték volna meg.</w:t>
      </w:r>
    </w:p>
    <w:p w:rsidR="0073312E" w:rsidRDefault="00014BBA">
      <w:pPr>
        <w:numPr>
          <w:ilvl w:val="0"/>
          <w:numId w:val="6"/>
        </w:numPr>
        <w:spacing w:after="270"/>
        <w:ind w:right="7"/>
      </w:pPr>
      <w:r>
        <w:t xml:space="preserve">Szerződő Felek a </w:t>
      </w:r>
      <w:r>
        <w:t>közöttük esetlegesen előadódó jogvitát megkísérlik peren kívül, egyeztetés útján rendezni.</w:t>
      </w:r>
    </w:p>
    <w:p w:rsidR="0073312E" w:rsidRDefault="00014BBA">
      <w:pPr>
        <w:spacing w:after="252"/>
        <w:ind w:left="0" w:right="14" w:firstLine="0"/>
      </w:pPr>
      <w:r>
        <w:t>Jelen Megállapodás 7 (hét) oldalból és 7 (hét) fejezetből áll, melyet I (egy) melléklet egészít ki, illetőleg 4 (négy) eredeti példányban készült, melyekből 2 (kettő</w:t>
      </w:r>
      <w:r>
        <w:t>) példány illeti meg Használatba adót és Használót.</w:t>
      </w:r>
    </w:p>
    <w:p w:rsidR="0073312E" w:rsidRDefault="00014BBA">
      <w:pPr>
        <w:spacing w:after="291"/>
        <w:ind w:left="0" w:right="14" w:firstLine="0"/>
      </w:pPr>
      <w:r>
        <w:t>A Megállapodást a Szerződő Felek elolvasták, az abban foglaltakat mindenre kiterjedően megismerték, annak tartalmát, rendelkezéseit, jogkövetkezményeit közösen értelmezték, megértették, magukra nézve kifejezetten elfogadták.</w:t>
      </w:r>
    </w:p>
    <w:p w:rsidR="0073312E" w:rsidRDefault="00014BBA">
      <w:pPr>
        <w:tabs>
          <w:tab w:val="center" w:pos="1576"/>
          <w:tab w:val="center" w:pos="3475"/>
        </w:tabs>
        <w:spacing w:after="0" w:line="259" w:lineRule="auto"/>
        <w:ind w:left="0" w:firstLine="0"/>
        <w:jc w:val="left"/>
      </w:pPr>
      <w:r>
        <w:rPr>
          <w:sz w:val="32"/>
        </w:rPr>
        <w:tab/>
        <w:t>2018.</w:t>
      </w:r>
      <w:r>
        <w:rPr>
          <w:sz w:val="32"/>
        </w:rPr>
        <w:tab/>
        <w:t xml:space="preserve">. . . . . . . . . . hó </w:t>
      </w:r>
      <w:proofErr w:type="gramStart"/>
      <w:r>
        <w:rPr>
          <w:sz w:val="32"/>
        </w:rPr>
        <w:t>.</w:t>
      </w:r>
      <w:r>
        <w:rPr>
          <w:sz w:val="32"/>
        </w:rPr>
        <w:t xml:space="preserve"> . ...</w:t>
      </w:r>
      <w:proofErr w:type="gramEnd"/>
      <w:r>
        <w:rPr>
          <w:sz w:val="32"/>
        </w:rPr>
        <w:t>napján</w:t>
      </w:r>
    </w:p>
    <w:p w:rsidR="0073312E" w:rsidRDefault="00014BBA">
      <w:pPr>
        <w:spacing w:after="1079" w:line="259" w:lineRule="auto"/>
        <w:ind w:left="424" w:firstLine="0"/>
        <w:jc w:val="left"/>
      </w:pPr>
      <w:r>
        <w:rPr>
          <w:noProof/>
        </w:rPr>
        <w:drawing>
          <wp:inline distT="0" distB="0" distL="0" distR="0">
            <wp:extent cx="520823" cy="41115"/>
            <wp:effectExtent l="0" t="0" r="0" b="0"/>
            <wp:docPr id="27422" name="Picture 27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2" name="Picture 274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823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2E" w:rsidRDefault="00014BBA">
      <w:pPr>
        <w:spacing w:after="43" w:line="259" w:lineRule="auto"/>
        <w:ind w:left="94" w:firstLine="0"/>
        <w:jc w:val="left"/>
      </w:pPr>
      <w:r>
        <w:rPr>
          <w:noProof/>
        </w:rPr>
        <w:drawing>
          <wp:inline distT="0" distB="0" distL="0" distR="0">
            <wp:extent cx="5683366" cy="31978"/>
            <wp:effectExtent l="0" t="0" r="0" b="0"/>
            <wp:docPr id="27424" name="Picture 27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4" name="Picture 274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336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2E" w:rsidRDefault="00014BBA">
      <w:pPr>
        <w:tabs>
          <w:tab w:val="center" w:pos="2187"/>
          <w:tab w:val="center" w:pos="6813"/>
        </w:tabs>
        <w:spacing w:after="244" w:line="259" w:lineRule="auto"/>
        <w:ind w:left="0" w:firstLine="0"/>
        <w:jc w:val="left"/>
      </w:pPr>
      <w:r>
        <w:rPr>
          <w:sz w:val="26"/>
        </w:rPr>
        <w:tab/>
        <w:t>Budapest Főváros XX. Kerület</w:t>
      </w:r>
      <w:r>
        <w:rPr>
          <w:sz w:val="26"/>
        </w:rPr>
        <w:tab/>
        <w:t>e-Mobi Elektromobilitás Nonprofit Kft.</w:t>
      </w:r>
    </w:p>
    <w:p w:rsidR="0073312E" w:rsidRDefault="0073312E">
      <w:pPr>
        <w:sectPr w:rsidR="0073312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20"/>
          <w:pgMar w:top="806" w:right="1461" w:bottom="5478" w:left="1360" w:header="547" w:footer="845" w:gutter="0"/>
          <w:cols w:space="708"/>
        </w:sectPr>
      </w:pPr>
    </w:p>
    <w:tbl>
      <w:tblPr>
        <w:tblStyle w:val="TableGrid"/>
        <w:tblW w:w="7353" w:type="dxa"/>
        <w:tblInd w:w="66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3223"/>
      </w:tblGrid>
      <w:tr w:rsidR="0073312E">
        <w:trPr>
          <w:trHeight w:val="28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3312E" w:rsidRDefault="00014BBA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lastRenderedPageBreak/>
              <w:t>Pesterzsébet Önkormányzata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3312E" w:rsidRDefault="00014BBA">
            <w:pPr>
              <w:spacing w:after="0" w:line="259" w:lineRule="auto"/>
              <w:ind w:left="0" w:right="14" w:firstLine="0"/>
              <w:jc w:val="right"/>
            </w:pPr>
            <w:r>
              <w:t>Használó képviseletében</w:t>
            </w:r>
          </w:p>
        </w:tc>
      </w:tr>
      <w:tr w:rsidR="0073312E">
        <w:trPr>
          <w:trHeight w:val="27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3312E" w:rsidRDefault="00014BBA">
            <w:pPr>
              <w:spacing w:after="0" w:line="259" w:lineRule="auto"/>
              <w:ind w:left="0" w:firstLine="0"/>
              <w:jc w:val="left"/>
            </w:pPr>
            <w:r>
              <w:t>Használatba adó képviseletében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3312E" w:rsidRDefault="00014BBA">
            <w:pPr>
              <w:spacing w:after="0" w:line="259" w:lineRule="auto"/>
              <w:ind w:left="0" w:firstLine="0"/>
              <w:jc w:val="right"/>
            </w:pPr>
            <w:r>
              <w:t>Dr. Ugron Gáspár Gábor</w:t>
            </w:r>
          </w:p>
        </w:tc>
      </w:tr>
      <w:tr w:rsidR="0073312E">
        <w:trPr>
          <w:trHeight w:val="556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3312E" w:rsidRDefault="00014BBA">
            <w:pPr>
              <w:spacing w:after="0" w:line="259" w:lineRule="auto"/>
              <w:ind w:left="893" w:right="604" w:hanging="94"/>
              <w:jc w:val="left"/>
            </w:pPr>
            <w:r>
              <w:t>Szabados Akos Polgármester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3312E" w:rsidRDefault="00014BBA">
            <w:pPr>
              <w:spacing w:after="0" w:line="259" w:lineRule="auto"/>
              <w:ind w:left="1058" w:firstLine="0"/>
              <w:jc w:val="left"/>
            </w:pPr>
            <w:r>
              <w:t>Ügyvezető Igazgató</w:t>
            </w:r>
          </w:p>
        </w:tc>
      </w:tr>
    </w:tbl>
    <w:p w:rsidR="0073312E" w:rsidRDefault="00014BBA">
      <w:pPr>
        <w:ind w:left="0" w:right="14" w:firstLine="0"/>
      </w:pPr>
      <w:r>
        <w:t>Mellékletek:</w:t>
      </w:r>
    </w:p>
    <w:p w:rsidR="0073312E" w:rsidRDefault="00014BBA">
      <w:pPr>
        <w:ind w:left="359" w:right="14" w:firstLine="0"/>
      </w:pPr>
      <w:r>
        <w:t>1. számú Melléklet</w:t>
      </w:r>
    </w:p>
    <w:sectPr w:rsidR="0073312E">
      <w:type w:val="continuous"/>
      <w:pgSz w:w="11900" w:h="16820"/>
      <w:pgMar w:top="806" w:right="8245" w:bottom="5478" w:left="13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4BBA">
      <w:pPr>
        <w:spacing w:after="0" w:line="240" w:lineRule="auto"/>
      </w:pPr>
      <w:r>
        <w:separator/>
      </w:r>
    </w:p>
  </w:endnote>
  <w:endnote w:type="continuationSeparator" w:id="0">
    <w:p w:rsidR="00000000" w:rsidRDefault="0001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4BBA">
      <w:pPr>
        <w:spacing w:after="0" w:line="240" w:lineRule="auto"/>
      </w:pPr>
      <w:r>
        <w:separator/>
      </w:r>
    </w:p>
  </w:footnote>
  <w:footnote w:type="continuationSeparator" w:id="0">
    <w:p w:rsidR="00000000" w:rsidRDefault="0001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31" w:lineRule="auto"/>
      <w:ind w:left="6245" w:right="-7" w:hanging="22"/>
    </w:pPr>
    <w:r>
      <w:rPr>
        <w:sz w:val="22"/>
      </w:rPr>
      <w:t>e-Mobi Elektromobilitás Nonprofit Kft. 1037 Budapest, Montevideo utca 2/C info@e-mobi.hu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16" w:lineRule="auto"/>
      <w:ind w:left="-50" w:firstLine="0"/>
    </w:pPr>
    <w:r>
      <w:rPr>
        <w:sz w:val="22"/>
      </w:rPr>
      <w:t xml:space="preserve">e-Mobi Elektromobilitás Nonprofit Kft. </w:t>
    </w:r>
    <w:r>
      <w:rPr>
        <w:rFonts w:ascii="Courier New" w:eastAsia="Courier New" w:hAnsi="Courier New" w:cs="Courier New"/>
        <w:sz w:val="64"/>
      </w:rPr>
      <w:t xml:space="preserve">e•mcebi </w:t>
    </w:r>
    <w:r>
      <w:rPr>
        <w:sz w:val="22"/>
      </w:rPr>
      <w:t>1037 Budapest</w:t>
    </w:r>
    <w:r>
      <w:rPr>
        <w:sz w:val="22"/>
      </w:rPr>
      <w:t>, Montevideo utca 2/C</w:t>
    </w:r>
  </w:p>
  <w:p w:rsidR="0073312E" w:rsidRDefault="00014BBA">
    <w:pPr>
      <w:spacing w:after="0" w:line="259" w:lineRule="auto"/>
      <w:ind w:left="-50" w:firstLine="0"/>
      <w:jc w:val="left"/>
    </w:pPr>
    <w:r>
      <w:rPr>
        <w:sz w:val="22"/>
      </w:rPr>
      <w:t>info@e-mobi.hu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31" w:lineRule="auto"/>
      <w:ind w:left="6245" w:right="-7" w:hanging="22"/>
    </w:pPr>
    <w:r>
      <w:rPr>
        <w:sz w:val="22"/>
      </w:rPr>
      <w:t>e-Mobi Elektromobilitás Nonprofit Kft. 1037 Budapest, Montevideo utca 2/C info@e-mobi.hu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16" w:lineRule="auto"/>
      <w:ind w:left="-446" w:firstLine="0"/>
      <w:jc w:val="left"/>
    </w:pPr>
    <w:r>
      <w:rPr>
        <w:sz w:val="22"/>
      </w:rPr>
      <w:t xml:space="preserve">e-Mobi Elektromobilitás Nonprofit Kft. </w:t>
    </w:r>
    <w:r>
      <w:rPr>
        <w:sz w:val="76"/>
      </w:rPr>
      <w:t>e•meebi</w:t>
    </w:r>
    <w:r>
      <w:rPr>
        <w:sz w:val="76"/>
      </w:rPr>
      <w:tab/>
    </w:r>
    <w:r>
      <w:rPr>
        <w:sz w:val="22"/>
      </w:rPr>
      <w:t xml:space="preserve">1037 Budapest, Montevideo utca </w:t>
    </w:r>
    <w:r>
      <w:rPr>
        <w:sz w:val="20"/>
      </w:rPr>
      <w:t>21C</w:t>
    </w:r>
  </w:p>
  <w:p w:rsidR="0073312E" w:rsidRDefault="00014BBA">
    <w:pPr>
      <w:spacing w:after="0" w:line="259" w:lineRule="auto"/>
      <w:ind w:left="-446" w:firstLine="0"/>
      <w:jc w:val="left"/>
    </w:pPr>
    <w:r>
      <w:rPr>
        <w:sz w:val="22"/>
      </w:rPr>
      <w:t>info@e-mobi.hu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16" w:lineRule="auto"/>
      <w:ind w:left="-446" w:firstLine="0"/>
      <w:jc w:val="left"/>
    </w:pPr>
    <w:r>
      <w:rPr>
        <w:sz w:val="22"/>
      </w:rPr>
      <w:t xml:space="preserve">e-Mobi Elektromobilitás Nonprofit Kft. </w:t>
    </w:r>
    <w:r>
      <w:rPr>
        <w:sz w:val="76"/>
      </w:rPr>
      <w:t>e•meebi</w:t>
    </w:r>
    <w:r>
      <w:rPr>
        <w:sz w:val="76"/>
      </w:rPr>
      <w:tab/>
    </w:r>
    <w:r>
      <w:rPr>
        <w:sz w:val="22"/>
      </w:rPr>
      <w:t xml:space="preserve">1037 Budapest, Montevideo utca </w:t>
    </w:r>
    <w:r>
      <w:rPr>
        <w:sz w:val="20"/>
      </w:rPr>
      <w:t>21C</w:t>
    </w:r>
  </w:p>
  <w:p w:rsidR="0073312E" w:rsidRDefault="00014BBA">
    <w:pPr>
      <w:spacing w:after="0" w:line="259" w:lineRule="auto"/>
      <w:ind w:left="-446" w:firstLine="0"/>
      <w:jc w:val="left"/>
    </w:pPr>
    <w:r>
      <w:rPr>
        <w:sz w:val="22"/>
      </w:rPr>
      <w:t>info@e-mobi.hu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16" w:lineRule="auto"/>
      <w:ind w:left="-446" w:firstLine="0"/>
      <w:jc w:val="left"/>
    </w:pPr>
    <w:r>
      <w:rPr>
        <w:sz w:val="22"/>
      </w:rPr>
      <w:t xml:space="preserve">e-Mobi Elektromobilitás Nonprofit Kft. </w:t>
    </w:r>
    <w:r>
      <w:rPr>
        <w:sz w:val="76"/>
      </w:rPr>
      <w:t>e•meebi</w:t>
    </w:r>
    <w:r>
      <w:rPr>
        <w:sz w:val="76"/>
      </w:rPr>
      <w:tab/>
    </w:r>
    <w:r>
      <w:rPr>
        <w:sz w:val="22"/>
      </w:rPr>
      <w:t xml:space="preserve">1037 Budapest, Montevideo utca </w:t>
    </w:r>
    <w:r>
      <w:rPr>
        <w:sz w:val="20"/>
      </w:rPr>
      <w:t>21C</w:t>
    </w:r>
  </w:p>
  <w:p w:rsidR="0073312E" w:rsidRDefault="00014BBA">
    <w:pPr>
      <w:spacing w:after="0" w:line="259" w:lineRule="auto"/>
      <w:ind w:left="-446" w:firstLine="0"/>
      <w:jc w:val="left"/>
    </w:pPr>
    <w:r>
      <w:rPr>
        <w:sz w:val="22"/>
      </w:rPr>
      <w:t>info@e-mobi.hu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16" w:lineRule="auto"/>
      <w:ind w:left="-453" w:firstLine="0"/>
    </w:pPr>
    <w:r>
      <w:rPr>
        <w:sz w:val="22"/>
      </w:rPr>
      <w:t xml:space="preserve">e-Mobi Elektromobilitás Nonprofit Kft. </w:t>
    </w:r>
    <w:r>
      <w:rPr>
        <w:sz w:val="76"/>
      </w:rPr>
      <w:t xml:space="preserve">e•m€ebi </w:t>
    </w:r>
    <w:r>
      <w:rPr>
        <w:sz w:val="22"/>
      </w:rPr>
      <w:t xml:space="preserve">1037 Budapest, Montevideo utca </w:t>
    </w:r>
  </w:p>
  <w:p w:rsidR="0073312E" w:rsidRDefault="00014BBA">
    <w:pPr>
      <w:spacing w:after="0" w:line="259" w:lineRule="auto"/>
      <w:ind w:left="-453" w:firstLine="0"/>
      <w:jc w:val="left"/>
    </w:pPr>
    <w:r>
      <w:rPr>
        <w:sz w:val="22"/>
      </w:rPr>
      <w:t>info@e-mobi.hu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16" w:lineRule="auto"/>
      <w:ind w:left="-453" w:firstLine="0"/>
    </w:pPr>
    <w:r>
      <w:rPr>
        <w:sz w:val="22"/>
      </w:rPr>
      <w:t xml:space="preserve">e-Mobi Elektromobilitás Nonprofit Kft. </w:t>
    </w:r>
    <w:r>
      <w:rPr>
        <w:sz w:val="76"/>
      </w:rPr>
      <w:t xml:space="preserve">e•m€ebi </w:t>
    </w:r>
    <w:r>
      <w:rPr>
        <w:sz w:val="22"/>
      </w:rPr>
      <w:t xml:space="preserve">1037 Budapest, Montevideo utca </w:t>
    </w:r>
  </w:p>
  <w:p w:rsidR="0073312E" w:rsidRDefault="00014BBA">
    <w:pPr>
      <w:spacing w:after="0" w:line="259" w:lineRule="auto"/>
      <w:ind w:left="-453" w:firstLine="0"/>
      <w:jc w:val="left"/>
    </w:pPr>
    <w:r>
      <w:rPr>
        <w:sz w:val="22"/>
      </w:rPr>
      <w:t>info@e-mobi.hu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2E" w:rsidRDefault="00014BBA">
    <w:pPr>
      <w:spacing w:after="0" w:line="216" w:lineRule="auto"/>
      <w:ind w:left="-453" w:firstLine="0"/>
    </w:pPr>
    <w:r>
      <w:rPr>
        <w:sz w:val="22"/>
      </w:rPr>
      <w:t xml:space="preserve">e-Mobi Elektromobilitás Nonprofit Kft. </w:t>
    </w:r>
    <w:r>
      <w:rPr>
        <w:sz w:val="76"/>
      </w:rPr>
      <w:t xml:space="preserve">e•m€ebi </w:t>
    </w:r>
    <w:r>
      <w:rPr>
        <w:sz w:val="22"/>
      </w:rPr>
      <w:t xml:space="preserve">1037 Budapest, Montevideo utca </w:t>
    </w:r>
  </w:p>
  <w:p w:rsidR="0073312E" w:rsidRDefault="00014BBA">
    <w:pPr>
      <w:spacing w:after="0" w:line="259" w:lineRule="auto"/>
      <w:ind w:left="-453" w:firstLine="0"/>
      <w:jc w:val="left"/>
    </w:pPr>
    <w:r>
      <w:rPr>
        <w:sz w:val="22"/>
      </w:rPr>
      <w:t>info@e-mobi.hu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1840"/>
    <w:multiLevelType w:val="hybridMultilevel"/>
    <w:tmpl w:val="042082C8"/>
    <w:lvl w:ilvl="0" w:tplc="C5EEEE80">
      <w:start w:val="2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88FD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08FA4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02E72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E21C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0C7E4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DF5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0919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8C03E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811E0D"/>
    <w:multiLevelType w:val="hybridMultilevel"/>
    <w:tmpl w:val="29DAE6AE"/>
    <w:lvl w:ilvl="0" w:tplc="496407AC">
      <w:start w:val="2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79C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ADB3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8D6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2312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A67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032E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A712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6B8B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4791D"/>
    <w:multiLevelType w:val="hybridMultilevel"/>
    <w:tmpl w:val="2F0E8D8C"/>
    <w:lvl w:ilvl="0" w:tplc="DB48188C">
      <w:start w:val="2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063B8E">
      <w:start w:val="1"/>
      <w:numFmt w:val="lowerRoman"/>
      <w:lvlText w:val="(%2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CD9BC">
      <w:start w:val="1"/>
      <w:numFmt w:val="lowerLetter"/>
      <w:lvlText w:val="%3.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A11B8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8B99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A42BC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EF0C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C2FA4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6A2CC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27B00"/>
    <w:multiLevelType w:val="hybridMultilevel"/>
    <w:tmpl w:val="0F209104"/>
    <w:lvl w:ilvl="0" w:tplc="BE0C6CFE">
      <w:start w:val="11"/>
      <w:numFmt w:val="decimal"/>
      <w:lvlText w:val="%1.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4351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638A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E131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6DC4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60ED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60A4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8924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6FBC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E62F5"/>
    <w:multiLevelType w:val="hybridMultilevel"/>
    <w:tmpl w:val="3C62DB04"/>
    <w:lvl w:ilvl="0" w:tplc="DDCA0C66">
      <w:start w:val="2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6607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9C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204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8F97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2152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A2F1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E6F8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0D9E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F20BDD"/>
    <w:multiLevelType w:val="hybridMultilevel"/>
    <w:tmpl w:val="B3345532"/>
    <w:lvl w:ilvl="0" w:tplc="D2A2192A">
      <w:start w:val="1"/>
      <w:numFmt w:val="decimal"/>
      <w:lvlText w:val="%1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2C88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C233A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080C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035BA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A1172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EF6E8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DAA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8E060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E37F43"/>
    <w:multiLevelType w:val="hybridMultilevel"/>
    <w:tmpl w:val="E2C8B7CE"/>
    <w:lvl w:ilvl="0" w:tplc="083E975E">
      <w:start w:val="3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55E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842A8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809D4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CC5F6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CA6C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AD38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632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CB4C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2E"/>
    <w:rsid w:val="00014BBA"/>
    <w:rsid w:val="007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63D10-B79A-4A31-B651-4D639036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55" w:lineRule="auto"/>
      <w:ind w:left="1175" w:hanging="35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7"/>
      </w:numPr>
      <w:spacing w:after="244"/>
      <w:ind w:left="44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"/>
      <w:ind w:right="7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image" Target="media/image4.jpg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1910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28C-6e-20180313161615</vt:lpstr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28C-6e-20180313161615</dc:title>
  <dc:subject/>
  <dc:creator>Varga Enikő</dc:creator>
  <cp:keywords/>
  <cp:lastModifiedBy>Varga Enikő</cp:lastModifiedBy>
  <cp:revision>2</cp:revision>
  <dcterms:created xsi:type="dcterms:W3CDTF">2018-03-13T14:10:00Z</dcterms:created>
  <dcterms:modified xsi:type="dcterms:W3CDTF">2018-03-13T14:10:00Z</dcterms:modified>
</cp:coreProperties>
</file>